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Questrial" w:cs="Questrial" w:eastAsia="Questrial" w:hAnsi="Questrial"/>
          <w:sz w:val="46"/>
          <w:szCs w:val="46"/>
        </w:rPr>
      </w:pPr>
      <w:r w:rsidDel="00000000" w:rsidR="00000000" w:rsidRPr="00000000">
        <w:rPr>
          <w:rFonts w:ascii="Questrial" w:cs="Questrial" w:eastAsia="Questrial" w:hAnsi="Questrial"/>
          <w:b w:val="1"/>
          <w:bCs w:val="1"/>
          <w:sz w:val="46"/>
          <w:szCs w:val="46"/>
          <w:rtl w:val="0"/>
        </w:rPr>
        <w:t xml:space="preserve">Research Report</w:t>
      </w:r>
      <w:r w:rsidDel="00000000" w:rsidR="00000000" w:rsidRPr="00000000">
        <w:rPr>
          <w:rtl w:val="0"/>
        </w:rPr>
      </w:r>
    </w:p>
    <w:p w:rsidR="00000000" w:rsidDel="00000000" w:rsidP="00000000" w:rsidRDefault="00000000" w:rsidRPr="00000000" w14:paraId="00000002">
      <w:pPr>
        <w:jc w:val="center"/>
        <w:rPr>
          <w:rFonts w:ascii="Questrial" w:cs="Questrial" w:eastAsia="Questrial" w:hAnsi="Questrial"/>
          <w:sz w:val="140"/>
          <w:szCs w:val="140"/>
        </w:rPr>
      </w:pPr>
      <w:r w:rsidDel="00000000" w:rsidR="00000000" w:rsidRPr="00000000">
        <w:rPr>
          <w:rFonts w:ascii="Questrial" w:cs="Questrial" w:eastAsia="Questrial" w:hAnsi="Questrial"/>
          <w:sz w:val="140"/>
          <w:szCs w:val="140"/>
          <w:rtl w:val="0"/>
        </w:rPr>
        <w:t xml:space="preserve">Saddle Finance:</w:t>
      </w:r>
    </w:p>
    <w:p w:rsidR="00000000" w:rsidDel="00000000" w:rsidP="00000000" w:rsidRDefault="00000000" w:rsidRPr="00000000" w14:paraId="00000003">
      <w:pPr>
        <w:jc w:val="center"/>
        <w:rPr>
          <w:rFonts w:ascii="Questrial" w:cs="Questrial" w:eastAsia="Questrial" w:hAnsi="Questrial"/>
          <w:sz w:val="80"/>
          <w:szCs w:val="80"/>
        </w:rPr>
      </w:pPr>
      <w:r w:rsidDel="00000000" w:rsidR="00000000" w:rsidRPr="00000000">
        <w:rPr>
          <w:rFonts w:ascii="Questrial" w:cs="Questrial" w:eastAsia="Questrial" w:hAnsi="Questrial"/>
          <w:sz w:val="80"/>
          <w:szCs w:val="80"/>
          <w:rtl w:val="0"/>
        </w:rPr>
        <w:t xml:space="preserve">Liquidity Pool considerations</w:t>
      </w:r>
    </w:p>
    <w:p w:rsidR="00000000" w:rsidDel="00000000" w:rsidP="00000000" w:rsidRDefault="00000000" w:rsidRPr="00000000" w14:paraId="00000004">
      <w:pPr>
        <w:jc w:val="center"/>
        <w:rPr>
          <w:rFonts w:ascii="Questrial" w:cs="Questrial" w:eastAsia="Questrial" w:hAnsi="Questrial"/>
          <w:i w:val="1"/>
          <w:iCs w:val="1"/>
          <w:sz w:val="46"/>
          <w:szCs w:val="46"/>
        </w:rPr>
      </w:pPr>
      <w:r w:rsidDel="00000000" w:rsidR="00000000" w:rsidRPr="00000000">
        <w:rPr>
          <w:rFonts w:ascii="Questrial" w:cs="Questrial" w:eastAsia="Questrial" w:hAnsi="Questrial"/>
          <w:i w:val="1"/>
          <w:iCs w:val="1"/>
          <w:sz w:val="46"/>
          <w:szCs w:val="46"/>
          <w:rtl w:val="0"/>
        </w:rPr>
        <w:t xml:space="preserve">Bankless Research</w:t>
      </w:r>
    </w:p>
    <w:p w:rsidR="00000000" w:rsidDel="00000000" w:rsidP="00000000" w:rsidRDefault="00000000" w:rsidRPr="00000000" w14:paraId="00000005">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 July, 2022</w:t>
      </w:r>
    </w:p>
    <w:p w:rsidR="00000000" w:rsidDel="00000000" w:rsidP="00000000" w:rsidRDefault="00000000" w:rsidRPr="00000000" w14:paraId="00000006">
      <w:pPr>
        <w:jc w:val="center"/>
        <w:rPr>
          <w:rFonts w:ascii="Questrial" w:cs="Questrial" w:eastAsia="Questrial" w:hAnsi="Questrial"/>
          <w:sz w:val="46"/>
          <w:szCs w:val="46"/>
        </w:rPr>
      </w:pPr>
      <w:r w:rsidDel="00000000" w:rsidR="00000000" w:rsidRPr="00000000">
        <w:rPr>
          <w:rtl w:val="0"/>
        </w:rPr>
      </w:r>
    </w:p>
    <w:p w:rsidR="00000000" w:rsidDel="00000000" w:rsidP="00000000" w:rsidRDefault="00000000" w:rsidRPr="00000000" w14:paraId="00000007">
      <w:pPr>
        <w:jc w:val="center"/>
        <w:rPr>
          <w:rFonts w:ascii="Questrial" w:cs="Questrial" w:eastAsia="Questrial" w:hAnsi="Questrial"/>
          <w:sz w:val="46"/>
          <w:szCs w:val="46"/>
        </w:rPr>
      </w:pPr>
      <w:r w:rsidDel="00000000" w:rsidR="00000000" w:rsidRPr="00000000">
        <w:rPr>
          <w:rFonts w:ascii="Questrial" w:cs="Questrial" w:eastAsia="Questrial" w:hAnsi="Questrial"/>
          <w:sz w:val="46"/>
          <w:szCs w:val="46"/>
          <w:rtl w:val="0"/>
        </w:rPr>
        <w:t xml:space="preserve">Author: Shaun/DancingPenguin</w:t>
      </w:r>
    </w:p>
    <w:p w:rsidR="00000000" w:rsidDel="00000000" w:rsidP="00000000" w:rsidRDefault="00000000" w:rsidRPr="00000000" w14:paraId="00000008">
      <w:pPr>
        <w:jc w:val="center"/>
        <w:rPr>
          <w:rFonts w:ascii="Overpass" w:cs="Overpass" w:eastAsia="Overpass" w:hAnsi="Overpass"/>
          <w:b w:val="1"/>
          <w:bCs w:val="1"/>
          <w:sz w:val="32"/>
          <w:szCs w:val="32"/>
        </w:rPr>
      </w:pPr>
      <w:r w:rsidDel="00000000" w:rsidR="00000000" w:rsidRPr="00000000">
        <w:rPr>
          <w:rFonts w:ascii="Questrial" w:cs="Questrial" w:eastAsia="Questrial" w:hAnsi="Questrial"/>
          <w:sz w:val="46"/>
          <w:szCs w:val="46"/>
          <w:rtl w:val="0"/>
        </w:rPr>
        <w:t xml:space="preserve">(https://twitter.com/Penguin_Dancin)</w:t>
      </w:r>
      <w:r w:rsidDel="00000000" w:rsidR="00000000" w:rsidRPr="00000000">
        <w:rPr>
          <w:rtl w:val="0"/>
        </w:rPr>
      </w:r>
    </w:p>
    <w:p w:rsidR="00000000" w:rsidDel="00000000" w:rsidP="00000000" w:rsidRDefault="00000000" w:rsidRPr="00000000" w14:paraId="00000009">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A">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B">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C">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D">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E">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0F">
      <w:pPr>
        <w:widowControl w:val="0"/>
        <w:spacing w:line="360" w:lineRule="auto"/>
        <w:rPr>
          <w:rFonts w:ascii="Overpass" w:cs="Overpass" w:eastAsia="Overpass" w:hAnsi="Overpass"/>
          <w:b w:val="1"/>
          <w:bCs w:val="1"/>
          <w:sz w:val="32"/>
          <w:szCs w:val="32"/>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This section is looking at the ways which saddle should approach the analysis and development of new liquidity pools in its existing foundation.  </w:t>
      </w:r>
    </w:p>
    <w:p w:rsidR="00000000" w:rsidDel="00000000" w:rsidP="00000000" w:rsidRDefault="00000000" w:rsidRPr="00000000" w14:paraId="00000013">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14">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sz w:val="24"/>
          <w:szCs w:val="24"/>
          <w:rtl w:val="0"/>
        </w:rPr>
        <w:tab/>
      </w:r>
      <w:r w:rsidDel="00000000" w:rsidR="00000000" w:rsidRPr="00000000">
        <w:rPr>
          <w:rFonts w:ascii="Overpass" w:cs="Overpass" w:eastAsia="Overpass" w:hAnsi="Overpass"/>
          <w:b w:val="1"/>
          <w:bCs w:val="1"/>
          <w:sz w:val="24"/>
          <w:szCs w:val="24"/>
          <w:rtl w:val="0"/>
        </w:rPr>
        <w:t xml:space="preserve">Goals:</w:t>
      </w:r>
    </w:p>
    <w:p w:rsidR="00000000" w:rsidDel="00000000" w:rsidP="00000000" w:rsidRDefault="00000000" w:rsidRPr="00000000" w14:paraId="00000015">
      <w:pPr>
        <w:numPr>
          <w:ilvl w:val="0"/>
          <w:numId w:val="2"/>
        </w:numPr>
        <w:spacing w:line="360" w:lineRule="auto"/>
        <w:ind w:left="144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Structure and create liquidity pools in such a way to minimize loss of TVL, and risk in general</w:t>
      </w:r>
    </w:p>
    <w:p w:rsidR="00000000" w:rsidDel="00000000" w:rsidP="00000000" w:rsidRDefault="00000000" w:rsidRPr="00000000" w14:paraId="00000016">
      <w:pPr>
        <w:numPr>
          <w:ilvl w:val="0"/>
          <w:numId w:val="2"/>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Attract new users through the </w:t>
      </w:r>
      <w:r w:rsidDel="00000000" w:rsidR="00000000" w:rsidRPr="00000000">
        <w:rPr>
          <w:rFonts w:ascii="Overpass" w:cs="Overpass" w:eastAsia="Overpass" w:hAnsi="Overpass"/>
          <w:sz w:val="24"/>
          <w:szCs w:val="24"/>
          <w:rtl w:val="0"/>
        </w:rPr>
        <w:t xml:space="preserve">onboarding</w:t>
      </w:r>
      <w:r w:rsidDel="00000000" w:rsidR="00000000" w:rsidRPr="00000000">
        <w:rPr>
          <w:rFonts w:ascii="Overpass" w:cs="Overpass" w:eastAsia="Overpass" w:hAnsi="Overpass"/>
          <w:sz w:val="24"/>
          <w:szCs w:val="24"/>
          <w:rtl w:val="0"/>
        </w:rPr>
        <w:t xml:space="preserve"> of new assets or swap pairs </w:t>
      </w:r>
    </w:p>
    <w:p w:rsidR="00000000" w:rsidDel="00000000" w:rsidP="00000000" w:rsidRDefault="00000000" w:rsidRPr="00000000" w14:paraId="00000017">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ab/>
        <w:t xml:space="preserve">Recommendations:</w:t>
      </w:r>
    </w:p>
    <w:p w:rsidR="00000000" w:rsidDel="00000000" w:rsidP="00000000" w:rsidRDefault="00000000" w:rsidRPr="00000000" w14:paraId="00000018">
      <w:pPr>
        <w:numPr>
          <w:ilvl w:val="0"/>
          <w:numId w:val="3"/>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With assets that have a higher risk of depegging, structure liquidity pools in such a way that contagion risks are small. </w:t>
      </w:r>
    </w:p>
    <w:p w:rsidR="00000000" w:rsidDel="00000000" w:rsidP="00000000" w:rsidRDefault="00000000" w:rsidRPr="00000000" w14:paraId="00000019">
      <w:pPr>
        <w:numPr>
          <w:ilvl w:val="0"/>
          <w:numId w:val="3"/>
        </w:numPr>
        <w:spacing w:line="360" w:lineRule="auto"/>
        <w:ind w:left="144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Use Coindix to calculate utilization ratios of various on-chain pools from saddle’s competitors to identify gaps in liquidity pool deployment in an ecosystem. </w:t>
      </w:r>
    </w:p>
    <w:p w:rsidR="00000000" w:rsidDel="00000000" w:rsidP="00000000" w:rsidRDefault="00000000" w:rsidRPr="00000000" w14:paraId="0000001A">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1B">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Risk management:</w:t>
      </w:r>
    </w:p>
    <w:p w:rsidR="00000000" w:rsidDel="00000000" w:rsidP="00000000" w:rsidRDefault="00000000" w:rsidRPr="00000000" w14:paraId="0000001C">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1D">
      <w:pPr>
        <w:spacing w:line="360" w:lineRule="auto"/>
        <w:rPr>
          <w:rFonts w:ascii="Overpass" w:cs="Overpass" w:eastAsia="Overpass" w:hAnsi="Overpass"/>
          <w:sz w:val="24"/>
          <w:szCs w:val="24"/>
        </w:rPr>
      </w:pPr>
      <w:r w:rsidDel="00000000" w:rsidR="00000000" w:rsidRPr="00000000">
        <w:rPr>
          <w:rFonts w:ascii="Overpass" w:cs="Overpass" w:eastAsia="Overpass" w:hAnsi="Overpass"/>
          <w:b w:val="1"/>
          <w:bCs w:val="1"/>
          <w:sz w:val="24"/>
          <w:szCs w:val="24"/>
          <w:rtl w:val="0"/>
        </w:rPr>
        <w:tab/>
      </w:r>
      <w:r w:rsidDel="00000000" w:rsidR="00000000" w:rsidRPr="00000000">
        <w:rPr>
          <w:rFonts w:ascii="Overpass" w:cs="Overpass" w:eastAsia="Overpass" w:hAnsi="Overpass"/>
          <w:sz w:val="24"/>
          <w:szCs w:val="24"/>
          <w:rtl w:val="0"/>
        </w:rPr>
        <w:t xml:space="preserve">With few exceptions, Saddle should accept any partner that allows for TVL to increase, usually through some seed money of the partner or capital attached to the partner. The utility of capital locked in Saddle’s ecosystem is important enough that the question is often less *which* new trading pairs Saddle should create, and rather </w:t>
      </w:r>
      <w:r w:rsidDel="00000000" w:rsidR="00000000" w:rsidRPr="00000000">
        <w:rPr>
          <w:rFonts w:ascii="Overpass" w:cs="Overpass" w:eastAsia="Overpass" w:hAnsi="Overpass"/>
          <w:i w:val="1"/>
          <w:iCs w:val="1"/>
          <w:sz w:val="24"/>
          <w:szCs w:val="24"/>
          <w:rtl w:val="0"/>
        </w:rPr>
        <w:t xml:space="preserve">how to mitigate risk</w:t>
      </w:r>
      <w:r w:rsidDel="00000000" w:rsidR="00000000" w:rsidRPr="00000000">
        <w:rPr>
          <w:rFonts w:ascii="Overpass" w:cs="Overpass" w:eastAsia="Overpass" w:hAnsi="Overpass"/>
          <w:sz w:val="24"/>
          <w:szCs w:val="24"/>
          <w:rtl w:val="0"/>
        </w:rPr>
        <w:t xml:space="preserve"> effectively with new liquidity pools. The safety of an asset on Saddle.finance can be measured in four ways:</w:t>
      </w:r>
    </w:p>
    <w:p w:rsidR="00000000" w:rsidDel="00000000" w:rsidP="00000000" w:rsidRDefault="00000000" w:rsidRPr="00000000" w14:paraId="0000001E">
      <w:pPr>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Historical stability: While of course the robustness of an asset is not a guarantee that it will continue to be stable, the stress test of both having surviving crypto downturns and having smart contracts available for black hat hackers suggests further stability in the future</w:t>
      </w:r>
    </w:p>
    <w:p w:rsidR="00000000" w:rsidDel="00000000" w:rsidP="00000000" w:rsidRDefault="00000000" w:rsidRPr="00000000" w14:paraId="0000001F">
      <w:pPr>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Collateralization: Fully collateralized stablecoins are safer than partially collateralized stablecoins.  Further, stablecoins that require full collateralization by their protocol structure (such as DAI, USDC, etc) are safer than stablecoins that can have a fluctuating, non-algorithmically determined collateral base (such as FEI).  Likewise, stablecoins collateralized with like-kind assets are less risky than those collateralized with non-like kind assets</w:t>
      </w:r>
    </w:p>
    <w:p w:rsidR="00000000" w:rsidDel="00000000" w:rsidP="00000000" w:rsidRDefault="00000000" w:rsidRPr="00000000" w14:paraId="00000020">
      <w:pPr>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Ability to enforce market price of an asset: Crypto collateralized stablecoins have the problem that they can not liquidate their own asset, but rather have to use market mechanisms, or backup reserves such as a treasury to maintain pegs during smaller market fluctuations. </w:t>
      </w:r>
    </w:p>
    <w:p w:rsidR="00000000" w:rsidDel="00000000" w:rsidP="00000000" w:rsidRDefault="00000000" w:rsidRPr="00000000" w14:paraId="00000021">
      <w:pPr>
        <w:numPr>
          <w:ilvl w:val="0"/>
          <w:numId w:val="5"/>
        </w:numPr>
        <w:spacing w:line="360" w:lineRule="auto"/>
        <w:ind w:left="720" w:hanging="360"/>
        <w:rPr>
          <w:rFonts w:ascii="Overpass" w:cs="Overpass" w:eastAsia="Overpass" w:hAnsi="Overpass"/>
          <w:sz w:val="24"/>
          <w:szCs w:val="24"/>
        </w:rPr>
      </w:pPr>
      <w:r w:rsidDel="00000000" w:rsidR="00000000" w:rsidRPr="00000000">
        <w:rPr>
          <w:rFonts w:ascii="Overpass" w:cs="Overpass" w:eastAsia="Overpass" w:hAnsi="Overpass"/>
          <w:sz w:val="24"/>
          <w:szCs w:val="24"/>
          <w:rtl w:val="0"/>
        </w:rPr>
        <w:t xml:space="preserve">Lack of regulatory risks for the specific asset. Providers like Circle have potential regulatory risks that decentralized providers do not! (note that USDC failing would have significant contagion into protocols like DAI, as well!)</w:t>
      </w:r>
    </w:p>
    <w:p w:rsidR="00000000" w:rsidDel="00000000" w:rsidP="00000000" w:rsidRDefault="00000000" w:rsidRPr="00000000" w14:paraId="00000022">
      <w:pPr>
        <w:spacing w:line="360" w:lineRule="auto"/>
        <w:ind w:left="0" w:firstLine="0"/>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3">
      <w:pPr>
        <w:spacing w:line="360" w:lineRule="auto"/>
        <w:ind w:left="0" w:firstLine="0"/>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As such, USDC or TUSD is slightly safer than DAI. For example, during a recent market downturn, MakerDAO had to contact one the main users of it’s protocol through twitter asking them to reduce a position so as to maintain the health of DAI.  Likewise,  while FRAX has had its stability tested through several markets, it is still fundamentally less collateralized than DAI or USDC, and thus objectively risker in that aspect.</w:t>
      </w:r>
    </w:p>
    <w:p w:rsidR="00000000" w:rsidDel="00000000" w:rsidP="00000000" w:rsidRDefault="00000000" w:rsidRPr="00000000" w14:paraId="00000024">
      <w:pPr>
        <w:spacing w:line="360" w:lineRule="auto"/>
        <w:ind w:left="0" w:firstLine="0"/>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5">
      <w:pPr>
        <w:spacing w:line="360" w:lineRule="auto"/>
        <w:ind w:left="0" w:firstLine="0"/>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Once Saddle has identified the risks of a new pool or partner, they can then use that information to understand what types of pools to include the new asset into. In general, to </w:t>
      </w:r>
      <w:r w:rsidDel="00000000" w:rsidR="00000000" w:rsidRPr="00000000">
        <w:rPr>
          <w:rFonts w:ascii="Overpass" w:cs="Overpass" w:eastAsia="Overpass" w:hAnsi="Overpass"/>
          <w:sz w:val="24"/>
          <w:szCs w:val="24"/>
          <w:rtl w:val="0"/>
        </w:rPr>
        <w:t xml:space="preserve">reduce the</w:t>
      </w:r>
      <w:r w:rsidDel="00000000" w:rsidR="00000000" w:rsidRPr="00000000">
        <w:rPr>
          <w:rFonts w:ascii="Overpass" w:cs="Overpass" w:eastAsia="Overpass" w:hAnsi="Overpass"/>
          <w:sz w:val="24"/>
          <w:szCs w:val="24"/>
          <w:rtl w:val="0"/>
        </w:rPr>
        <w:t xml:space="preserve"> risk of </w:t>
      </w:r>
      <w:r w:rsidDel="00000000" w:rsidR="00000000" w:rsidRPr="00000000">
        <w:rPr>
          <w:rFonts w:ascii="Overpass" w:cs="Overpass" w:eastAsia="Overpass" w:hAnsi="Overpass"/>
          <w:sz w:val="24"/>
          <w:szCs w:val="24"/>
          <w:rtl w:val="0"/>
        </w:rPr>
        <w:t xml:space="preserve">contagion</w:t>
      </w:r>
      <w:r w:rsidDel="00000000" w:rsidR="00000000" w:rsidRPr="00000000">
        <w:rPr>
          <w:rFonts w:ascii="Overpass" w:cs="Overpass" w:eastAsia="Overpass" w:hAnsi="Overpass"/>
          <w:sz w:val="24"/>
          <w:szCs w:val="24"/>
          <w:rtl w:val="0"/>
        </w:rPr>
        <w:t xml:space="preserve">, riskier assets should be quarantined to one or two pairings with a commonly used asset. For example, let’s say Saddle.finance makes a partnership with TRON to host USDD liquidity pools.  Because USDD is based on a model very similar to other de-pegged stablecoins, it makes sense to confine the stablecoin to only one or two different pairs, say a USDD-DAI pairing, or a USDC-USDD pairing.  </w:t>
      </w:r>
    </w:p>
    <w:p w:rsidR="00000000" w:rsidDel="00000000" w:rsidP="00000000" w:rsidRDefault="00000000" w:rsidRPr="00000000" w14:paraId="00000026">
      <w:pPr>
        <w:spacing w:line="360" w:lineRule="auto"/>
        <w:ind w:left="0" w:firstLine="720"/>
        <w:rPr>
          <w:rFonts w:ascii="Overpass" w:cs="Overpass" w:eastAsia="Overpass" w:hAnsi="Overpass"/>
          <w:i w:val="1"/>
          <w:iCs w:val="1"/>
          <w:sz w:val="24"/>
          <w:szCs w:val="24"/>
        </w:rPr>
      </w:pPr>
      <w:r w:rsidDel="00000000" w:rsidR="00000000" w:rsidRPr="00000000">
        <w:rPr>
          <w:rFonts w:ascii="Overpass" w:cs="Overpass" w:eastAsia="Overpass" w:hAnsi="Overpass"/>
          <w:i w:val="1"/>
          <w:iCs w:val="1"/>
          <w:sz w:val="24"/>
          <w:szCs w:val="24"/>
          <w:rtl w:val="0"/>
        </w:rPr>
        <w:t xml:space="preserve">Note it does not make sense to use the same stablecoin in all of these risky pairings. There is always the risk of a “safe” stablecoin depegging due to smart contract risks, orale risks, or black swan scenarios.  In the case of regulatory risk causing USDC to depeg while canadian USDT remains pegged, for example, Saddle.fianance should be set up in a way that their entire TVL does not drain.</w:t>
      </w:r>
    </w:p>
    <w:p w:rsidR="00000000" w:rsidDel="00000000" w:rsidP="00000000" w:rsidRDefault="00000000" w:rsidRPr="00000000" w14:paraId="00000027">
      <w:pPr>
        <w:spacing w:line="360" w:lineRule="auto"/>
        <w:ind w:left="0" w:firstLine="0"/>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Another way to curb risk is to automatically freeze a pool for everything but withdrawal if one asset drops below 50% of another asset’s value (or some other arbitrary low value which should not occur in normal usage).  Such drainage should be well beyond any normal use of the protocol, and suggests some exploit or external effect detrimental to Saddle’s users.  The reason stated as to why this automatic freezing is not in effect is because of high variance in normal operation, however, it is a solvable analytics problem to find an appropriate margin of error where automatic freezing of a pool makes sense.  Of course, if an oracle reports that the asset has risen above the chosen value, the pool can be reactivated. Likewise, if it is deemed that the pool should be unfrozen, it should be able to be manually unfrozen by Saddle interacting with the smart contract.</w:t>
      </w:r>
    </w:p>
    <w:p w:rsidR="00000000" w:rsidDel="00000000" w:rsidP="00000000" w:rsidRDefault="00000000" w:rsidRPr="00000000" w14:paraId="00000028">
      <w:pPr>
        <w:spacing w:line="360" w:lineRule="auto"/>
        <w:ind w:left="0" w:firstLine="0"/>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9">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2A">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 xml:space="preserve">How to evaluate potential new liquidity pools:</w:t>
      </w:r>
    </w:p>
    <w:p w:rsidR="00000000" w:rsidDel="00000000" w:rsidP="00000000" w:rsidRDefault="00000000" w:rsidRPr="00000000" w14:paraId="0000002B">
      <w:pPr>
        <w:spacing w:line="360" w:lineRule="auto"/>
        <w:rPr>
          <w:rFonts w:ascii="Overpass" w:cs="Overpass" w:eastAsia="Overpass" w:hAnsi="Overpass"/>
          <w:b w:val="1"/>
          <w:bCs w:val="1"/>
          <w:sz w:val="24"/>
          <w:szCs w:val="24"/>
        </w:rPr>
      </w:pPr>
      <w:r w:rsidDel="00000000" w:rsidR="00000000" w:rsidRPr="00000000">
        <w:rPr>
          <w:rFonts w:ascii="Overpass" w:cs="Overpass" w:eastAsia="Overpass" w:hAnsi="Overpass"/>
          <w:b w:val="1"/>
          <w:bCs w:val="1"/>
          <w:sz w:val="24"/>
          <w:szCs w:val="24"/>
          <w:rtl w:val="0"/>
        </w:rPr>
        <w:tab/>
        <w:t xml:space="preserve">Goals:</w:t>
      </w:r>
    </w:p>
    <w:p w:rsidR="00000000" w:rsidDel="00000000" w:rsidP="00000000" w:rsidRDefault="00000000" w:rsidRPr="00000000" w14:paraId="0000002C">
      <w:pPr>
        <w:numPr>
          <w:ilvl w:val="0"/>
          <w:numId w:val="4"/>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Evaluate potential new token pairings on Saddle using utilization ratios, in addition to TVL in an ecosystem</w:t>
      </w:r>
    </w:p>
    <w:p w:rsidR="00000000" w:rsidDel="00000000" w:rsidP="00000000" w:rsidRDefault="00000000" w:rsidRPr="00000000" w14:paraId="0000002D">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r>
      <w:r w:rsidDel="00000000" w:rsidR="00000000" w:rsidRPr="00000000">
        <w:rPr>
          <w:rFonts w:ascii="Overpass" w:cs="Overpass" w:eastAsia="Overpass" w:hAnsi="Overpass"/>
          <w:b w:val="1"/>
          <w:bCs w:val="1"/>
          <w:sz w:val="24"/>
          <w:szCs w:val="24"/>
          <w:rtl w:val="0"/>
        </w:rPr>
        <w:t xml:space="preserve">Recommendation: </w:t>
      </w:r>
      <w:r w:rsidDel="00000000" w:rsidR="00000000" w:rsidRPr="00000000">
        <w:rPr>
          <w:rtl w:val="0"/>
        </w:rPr>
      </w:r>
    </w:p>
    <w:p w:rsidR="00000000" w:rsidDel="00000000" w:rsidP="00000000" w:rsidRDefault="00000000" w:rsidRPr="00000000" w14:paraId="0000002E">
      <w:pPr>
        <w:numPr>
          <w:ilvl w:val="0"/>
          <w:numId w:val="1"/>
        </w:numPr>
        <w:spacing w:line="360" w:lineRule="auto"/>
        <w:ind w:left="2160" w:hanging="360"/>
        <w:rPr>
          <w:rFonts w:ascii="Overpass" w:cs="Overpass" w:eastAsia="Overpass" w:hAnsi="Overpass"/>
          <w:sz w:val="24"/>
          <w:szCs w:val="24"/>
          <w:u w:val="none"/>
        </w:rPr>
      </w:pPr>
      <w:r w:rsidDel="00000000" w:rsidR="00000000" w:rsidRPr="00000000">
        <w:rPr>
          <w:rFonts w:ascii="Overpass" w:cs="Overpass" w:eastAsia="Overpass" w:hAnsi="Overpass"/>
          <w:sz w:val="24"/>
          <w:szCs w:val="24"/>
          <w:rtl w:val="0"/>
        </w:rPr>
        <w:t xml:space="preserve">Utilize Coindix.com in generating this information, either through paying for use of their API, or by periodically paying community members to manually gather this data</w:t>
      </w:r>
      <w:r w:rsidDel="00000000" w:rsidR="00000000" w:rsidRPr="00000000">
        <w:rPr>
          <w:rtl w:val="0"/>
        </w:rPr>
      </w:r>
    </w:p>
    <w:p w:rsidR="00000000" w:rsidDel="00000000" w:rsidP="00000000" w:rsidRDefault="00000000" w:rsidRPr="00000000" w14:paraId="0000002F">
      <w:pPr>
        <w:spacing w:line="360" w:lineRule="auto"/>
        <w:rPr>
          <w:rFonts w:ascii="Overpass" w:cs="Overpass" w:eastAsia="Overpass" w:hAnsi="Overpass"/>
          <w:sz w:val="24"/>
          <w:szCs w:val="24"/>
        </w:rPr>
      </w:pPr>
      <w:r w:rsidDel="00000000" w:rsidR="00000000" w:rsidRPr="00000000">
        <w:rPr>
          <w:rFonts w:ascii="Overpass" w:cs="Overpass" w:eastAsia="Overpass" w:hAnsi="Overpass"/>
          <w:b w:val="1"/>
          <w:bCs w:val="1"/>
          <w:sz w:val="24"/>
          <w:szCs w:val="24"/>
          <w:rtl w:val="0"/>
        </w:rPr>
        <w:tab/>
      </w:r>
      <w:r w:rsidDel="00000000" w:rsidR="00000000" w:rsidRPr="00000000">
        <w:rPr>
          <w:rFonts w:ascii="Overpass" w:cs="Overpass" w:eastAsia="Overpass" w:hAnsi="Overpass"/>
          <w:sz w:val="24"/>
          <w:szCs w:val="24"/>
          <w:rtl w:val="0"/>
        </w:rPr>
        <w:t xml:space="preserve">One of the things that Saddle has asked us for is a way to evaluate the importance of already existing liquidity pairs in other protocols on a chain, particularly in ways other than total value locked.  The primary (and probably better) way of evaluating liquidity pairs is in terms of usage, and usage when accounting for TVL. Coindix is one possible platform to get this information, and gathering this information is one way for Saddle’s community to become involved in Saddle’s operations.</w:t>
      </w:r>
    </w:p>
    <w:p w:rsidR="00000000" w:rsidDel="00000000" w:rsidP="00000000" w:rsidRDefault="00000000" w:rsidRPr="00000000" w14:paraId="00000030">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Coindix is an aggregator for various defi investment opportunities. It collects and reports, among other things, lending pool yield.  Their information is available for free on the site coindix.com, and there are also subscription plans to get access to the data in an easier to use format. For 500€, Saddle could subscribe to coindix’s “pro” plan, which allows Saddle to download historical and current data in a .csv format. If Saddle for some reason wanted to use Coindix’s data in a more programmatic fashion, you can also subscribe to Coindix’s “enterprise” plan for 900€/month, which allows for unlimited API calls to their platform.  This is useful if Saddle needs to, for example, use the historical APR of a Liquidity Pool in the use of some chart or graphic in a future UI.</w:t>
      </w:r>
    </w:p>
    <w:p w:rsidR="00000000" w:rsidDel="00000000" w:rsidP="00000000" w:rsidRDefault="00000000" w:rsidRPr="00000000" w14:paraId="00000031">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Because the fees of a liquidity pool sends roughly 1.5% to the liquidity provider, it is easy to calculate the throughput of a particular pool.  The relevant equations are </w:t>
      </w:r>
    </w:p>
    <w:p w:rsidR="00000000" w:rsidDel="00000000" w:rsidP="00000000" w:rsidRDefault="00000000" w:rsidRPr="00000000" w14:paraId="00000032">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ab/>
        <w:t xml:space="preserve">TVL=v</w:t>
      </w:r>
    </w:p>
    <w:p w:rsidR="00000000" w:rsidDel="00000000" w:rsidP="00000000" w:rsidRDefault="00000000" w:rsidRPr="00000000" w14:paraId="00000033">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ab/>
        <w:t xml:space="preserve">APR=r</w:t>
      </w:r>
    </w:p>
    <w:p w:rsidR="00000000" w:rsidDel="00000000" w:rsidP="00000000" w:rsidRDefault="00000000" w:rsidRPr="00000000" w14:paraId="00000034">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ab/>
        <w:t xml:space="preserve">throughput=t :the amount a liquidity pool is being used</w:t>
      </w:r>
    </w:p>
    <w:p w:rsidR="00000000" w:rsidDel="00000000" w:rsidP="00000000" w:rsidRDefault="00000000" w:rsidRPr="00000000" w14:paraId="00000035">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ab/>
        <w:t xml:space="preserve">Utilization ratio=u : The amount a liquidity pool is being used/TVL</w:t>
      </w:r>
    </w:p>
    <w:p w:rsidR="00000000" w:rsidDel="00000000" w:rsidP="00000000" w:rsidRDefault="00000000" w:rsidRPr="00000000" w14:paraId="00000036">
      <w:pPr>
        <w:spacing w:line="360" w:lineRule="auto"/>
        <w:rPr>
          <w:rFonts w:ascii="Overpass" w:cs="Overpass" w:eastAsia="Overpass" w:hAnsi="Overpass"/>
          <w:sz w:val="24"/>
          <w:szCs w:val="24"/>
        </w:rPr>
      </w:pPr>
      <w:r w:rsidDel="00000000" w:rsidR="00000000" w:rsidRPr="00000000">
        <w:rPr>
          <w:rtl w:val="0"/>
        </w:rPr>
      </w:r>
    </w:p>
    <w:p w:rsidR="00000000" w:rsidDel="00000000" w:rsidP="00000000" w:rsidRDefault="00000000" w:rsidRPr="00000000" w14:paraId="00000037">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v*r(100/.015)=t</w:t>
      </w:r>
    </w:p>
    <w:p w:rsidR="00000000" w:rsidDel="00000000" w:rsidP="00000000" w:rsidRDefault="00000000" w:rsidRPr="00000000" w14:paraId="00000038">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r(100/.015)=u</w:t>
      </w:r>
    </w:p>
    <w:p w:rsidR="00000000" w:rsidDel="00000000" w:rsidP="00000000" w:rsidRDefault="00000000" w:rsidRPr="00000000" w14:paraId="00000039">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ab/>
      </w:r>
    </w:p>
    <w:p w:rsidR="00000000" w:rsidDel="00000000" w:rsidP="00000000" w:rsidRDefault="00000000" w:rsidRPr="00000000" w14:paraId="0000003A">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By using the throughput and utilization ratio of a pool, Saddle can identify pools that have outsized usage in an ecosystem compared to the TVL.  Generally, saddle should be approaching protocols controlling tokens that both have a lower TVL (which indicates newer and smaller protocols), and protocols that have a high utilization ratio.  </w:t>
      </w:r>
    </w:p>
    <w:p w:rsidR="00000000" w:rsidDel="00000000" w:rsidP="00000000" w:rsidRDefault="00000000" w:rsidRPr="00000000" w14:paraId="0000003B">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Generally, Saddle should be aggressively exploring partnerships with token providers that have high throughput compared to their liquidity.  </w:t>
      </w:r>
    </w:p>
    <w:p w:rsidR="00000000" w:rsidDel="00000000" w:rsidP="00000000" w:rsidRDefault="00000000" w:rsidRPr="00000000" w14:paraId="0000003C">
      <w:pPr>
        <w:spacing w:line="360" w:lineRule="auto"/>
        <w:rPr>
          <w:rFonts w:ascii="Overpass" w:cs="Overpass" w:eastAsia="Overpass" w:hAnsi="Overpass"/>
          <w:sz w:val="24"/>
          <w:szCs w:val="24"/>
        </w:rPr>
      </w:pPr>
      <w:r w:rsidDel="00000000" w:rsidR="00000000" w:rsidRPr="00000000">
        <w:rPr>
          <w:rFonts w:ascii="Overpass" w:cs="Overpass" w:eastAsia="Overpass" w:hAnsi="Overpass"/>
          <w:sz w:val="24"/>
          <w:szCs w:val="24"/>
          <w:rtl w:val="0"/>
        </w:rPr>
        <w:tab/>
        <w:t xml:space="preserve">Unless Saddle chooses to assign this task to an analytics team to generate charts from coindix data, generating these sorts of figures is perfect work to assign to a community team or community member.  It is work that constantly needs to be done, that is important to Saddle strategic operations, and does not require tight integration with the work of the core team.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verpas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estrial">
    <w:embedRegular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verpass-regular.ttf"/><Relationship Id="rId2" Type="http://schemas.openxmlformats.org/officeDocument/2006/relationships/font" Target="fonts/Overpass-bold.ttf"/><Relationship Id="rId3" Type="http://schemas.openxmlformats.org/officeDocument/2006/relationships/font" Target="fonts/Overpass-italic.ttf"/><Relationship Id="rId4" Type="http://schemas.openxmlformats.org/officeDocument/2006/relationships/font" Target="fonts/Overpass-boldItalic.ttf"/><Relationship Id="rId5"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