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Survey Design</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the research project you have involves understanding the opinions, beliefs, or other attributes of a large population, you may find surveys to be a useful research method. Generally you want to use a survey method when you are working with large groups, straightforward questions, and when time is a factor.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Once you have a research question, you should define the variables for your question.  </w:t>
      </w:r>
      <w:r w:rsidDel="00000000" w:rsidR="00000000" w:rsidRPr="00000000">
        <w:rPr>
          <w:rtl w:val="0"/>
        </w:rPr>
        <w:t xml:space="preserve">List out your variables, and then create multiple questions operationalizing your variables.  Operationalization is by nature imperfect, and by creating multiple questions, you can be more accurate with your survey methodology. By seeing that they answer these multiple questions similarly, you can test </w:t>
      </w:r>
      <w:r w:rsidDel="00000000" w:rsidR="00000000" w:rsidRPr="00000000">
        <w:rPr>
          <w:i w:val="1"/>
          <w:iCs w:val="1"/>
          <w:rtl w:val="0"/>
        </w:rPr>
        <w:t xml:space="preserve">validity</w:t>
      </w:r>
      <w:r w:rsidDel="00000000" w:rsidR="00000000" w:rsidRPr="00000000">
        <w:rPr>
          <w:rtl w:val="0"/>
        </w:rPr>
        <w:t xml:space="preserve">, i.e. that your questions correctly operationalize your conceptual variable.</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030303"/>
          <w:shd w:fill="f9f9f9" w:val="clear"/>
        </w:rPr>
      </w:pPr>
      <w:r w:rsidDel="00000000" w:rsidR="00000000" w:rsidRPr="00000000">
        <w:rPr>
          <w:rtl w:val="0"/>
        </w:rPr>
        <w:t xml:space="preserve">In professionally done surveys, as a part of analyzing the data, the validity of these multiple questions operationalizing the same variable is tested through a set of techniques known as </w:t>
      </w:r>
      <w:r w:rsidDel="00000000" w:rsidR="00000000" w:rsidRPr="00000000">
        <w:rPr>
          <w:color w:val="030303"/>
          <w:shd w:fill="f9f9f9" w:val="clear"/>
          <w:rtl w:val="0"/>
        </w:rPr>
        <w:t xml:space="preserve">confirmatory factor analysis. These questions are also then grouped together and reported as a scale for linear regression or some other form of quantitative analysis. (ask your friendly statistician if you need help with this!)</w:t>
      </w:r>
    </w:p>
    <w:p w:rsidR="00000000" w:rsidDel="00000000" w:rsidP="00000000" w:rsidRDefault="00000000" w:rsidRPr="00000000" w14:paraId="00000008">
      <w:pPr>
        <w:rPr>
          <w:color w:val="030303"/>
          <w:shd w:fill="f9f9f9" w:val="clear"/>
        </w:rPr>
      </w:pPr>
      <w:r w:rsidDel="00000000" w:rsidR="00000000" w:rsidRPr="00000000">
        <w:rPr>
          <w:rtl w:val="0"/>
        </w:rPr>
      </w:r>
    </w:p>
    <w:p w:rsidR="00000000" w:rsidDel="00000000" w:rsidP="00000000" w:rsidRDefault="00000000" w:rsidRPr="00000000" w14:paraId="00000009">
      <w:pPr>
        <w:rPr>
          <w:b w:val="1"/>
          <w:bCs w:val="1"/>
          <w:color w:val="030303"/>
          <w:shd w:fill="f9f9f9" w:val="clear"/>
        </w:rPr>
      </w:pPr>
      <w:r w:rsidDel="00000000" w:rsidR="00000000" w:rsidRPr="00000000">
        <w:rPr>
          <w:b w:val="1"/>
          <w:bCs w:val="1"/>
          <w:color w:val="030303"/>
          <w:shd w:fill="f9f9f9" w:val="clear"/>
          <w:rtl w:val="0"/>
        </w:rPr>
        <w:t xml:space="preserve">Open and closed questions:</w:t>
      </w:r>
    </w:p>
    <w:p w:rsidR="00000000" w:rsidDel="00000000" w:rsidP="00000000" w:rsidRDefault="00000000" w:rsidRPr="00000000" w14:paraId="0000000A">
      <w:pPr>
        <w:rPr>
          <w:color w:val="030303"/>
          <w:shd w:fill="f9f9f9" w:val="clear"/>
        </w:rPr>
      </w:pPr>
      <w:r w:rsidDel="00000000" w:rsidR="00000000" w:rsidRPr="00000000">
        <w:rPr>
          <w:color w:val="030303"/>
          <w:shd w:fill="f9f9f9" w:val="clear"/>
          <w:rtl w:val="0"/>
        </w:rPr>
        <w:t xml:space="preserve">While creating your questions, you will probably want to use both </w:t>
      </w:r>
      <w:r w:rsidDel="00000000" w:rsidR="00000000" w:rsidRPr="00000000">
        <w:rPr>
          <w:b w:val="1"/>
          <w:bCs w:val="1"/>
          <w:color w:val="030303"/>
          <w:shd w:fill="f9f9f9" w:val="clear"/>
          <w:rtl w:val="0"/>
        </w:rPr>
        <w:t xml:space="preserve">open </w:t>
      </w:r>
      <w:r w:rsidDel="00000000" w:rsidR="00000000" w:rsidRPr="00000000">
        <w:rPr>
          <w:color w:val="030303"/>
          <w:shd w:fill="f9f9f9" w:val="clear"/>
          <w:rtl w:val="0"/>
        </w:rPr>
        <w:t xml:space="preserve">and </w:t>
      </w:r>
      <w:r w:rsidDel="00000000" w:rsidR="00000000" w:rsidRPr="00000000">
        <w:rPr>
          <w:b w:val="1"/>
          <w:bCs w:val="1"/>
          <w:color w:val="030303"/>
          <w:shd w:fill="f9f9f9" w:val="clear"/>
          <w:rtl w:val="0"/>
        </w:rPr>
        <w:t xml:space="preserve">closed</w:t>
      </w:r>
      <w:r w:rsidDel="00000000" w:rsidR="00000000" w:rsidRPr="00000000">
        <w:rPr>
          <w:color w:val="030303"/>
          <w:shd w:fill="f9f9f9" w:val="clear"/>
          <w:rtl w:val="0"/>
        </w:rPr>
        <w:t xml:space="preserve"> questions. </w:t>
      </w:r>
      <w:r w:rsidDel="00000000" w:rsidR="00000000" w:rsidRPr="00000000">
        <w:rPr>
          <w:rtl w:val="0"/>
        </w:rPr>
        <w:t xml:space="preserve">In open questions, the answer can be given in an infinite (or nearly infinite( number of ways, for example </w:t>
      </w:r>
      <w:r w:rsidDel="00000000" w:rsidR="00000000" w:rsidRPr="00000000">
        <w:rPr>
          <w:rFonts w:ascii="Courier New" w:cs="Courier New" w:eastAsia="Courier New" w:hAnsi="Courier New"/>
          <w:rtl w:val="0"/>
        </w:rPr>
        <w:t xml:space="preserve">“How much ETH do you own?” “Write a couple sentences about what you like in BanklessDAO?”</w:t>
      </w:r>
      <w:r w:rsidDel="00000000" w:rsidR="00000000" w:rsidRPr="00000000">
        <w:rPr>
          <w:rtl w:val="0"/>
        </w:rPr>
        <w:t xml:space="preserve"> With closed questions, respondents select from a selection of fite choices, such as </w:t>
      </w:r>
      <w:r w:rsidDel="00000000" w:rsidR="00000000" w:rsidRPr="00000000">
        <w:rPr>
          <w:rtl w:val="0"/>
        </w:rPr>
      </w:r>
    </w:p>
    <w:p w:rsidR="00000000" w:rsidDel="00000000" w:rsidP="00000000" w:rsidRDefault="00000000" w:rsidRPr="00000000" w14:paraId="0000000B">
      <w:pPr>
        <w:ind w:left="720" w:firstLine="0"/>
        <w:rPr>
          <w:rFonts w:ascii="Courier New" w:cs="Courier New" w:eastAsia="Courier New" w:hAnsi="Courier New"/>
        </w:rPr>
      </w:pPr>
      <w:r w:rsidDel="00000000" w:rsidR="00000000" w:rsidRPr="00000000">
        <w:rPr>
          <w:rtl w:val="0"/>
        </w:rPr>
        <w:tab/>
      </w:r>
      <w:r w:rsidDel="00000000" w:rsidR="00000000" w:rsidRPr="00000000">
        <w:rPr>
          <w:rFonts w:ascii="Courier New" w:cs="Courier New" w:eastAsia="Courier New" w:hAnsi="Courier New"/>
          <w:rtl w:val="0"/>
        </w:rPr>
        <w:t xml:space="preserve">“How much do you </w:t>
      </w:r>
      <w:r w:rsidDel="00000000" w:rsidR="00000000" w:rsidRPr="00000000">
        <w:rPr>
          <w:rFonts w:ascii="Courier New" w:cs="Courier New" w:eastAsia="Courier New" w:hAnsi="Courier New"/>
          <w:b w:val="1"/>
          <w:bCs w:val="1"/>
          <w:rtl w:val="0"/>
        </w:rPr>
        <w:t xml:space="preserve">agree or disagree </w:t>
      </w:r>
      <w:r w:rsidDel="00000000" w:rsidR="00000000" w:rsidRPr="00000000">
        <w:rPr>
          <w:rFonts w:ascii="Courier New" w:cs="Courier New" w:eastAsia="Courier New" w:hAnsi="Courier New"/>
          <w:rtl w:val="0"/>
        </w:rPr>
        <w:t xml:space="preserve">with the following statement:  BanklessDAO is awesome”</w:t>
      </w:r>
    </w:p>
    <w:p w:rsidR="00000000" w:rsidDel="00000000" w:rsidP="00000000" w:rsidRDefault="00000000" w:rsidRPr="00000000" w14:paraId="0000000C">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a)Strongly agree</w:t>
      </w:r>
    </w:p>
    <w:p w:rsidR="00000000" w:rsidDel="00000000" w:rsidP="00000000" w:rsidRDefault="00000000" w:rsidRPr="00000000" w14:paraId="0000000D">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b)Agree</w:t>
      </w:r>
    </w:p>
    <w:p w:rsidR="00000000" w:rsidDel="00000000" w:rsidP="00000000" w:rsidRDefault="00000000" w:rsidRPr="00000000" w14:paraId="0000000E">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c)Neutral</w:t>
      </w:r>
    </w:p>
    <w:p w:rsidR="00000000" w:rsidDel="00000000" w:rsidP="00000000" w:rsidRDefault="00000000" w:rsidRPr="00000000" w14:paraId="0000000F">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d)Disagree</w:t>
      </w:r>
    </w:p>
    <w:p w:rsidR="00000000" w:rsidDel="00000000" w:rsidP="00000000" w:rsidRDefault="00000000" w:rsidRPr="00000000" w14:paraId="00000010">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e)Strongly Disagree</w:t>
      </w:r>
    </w:p>
    <w:p w:rsidR="00000000" w:rsidDel="00000000" w:rsidP="00000000" w:rsidRDefault="00000000" w:rsidRPr="00000000" w14:paraId="00000011">
      <w:pPr>
        <w:ind w:left="72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closed questions, the range of answers should be exhaustive and mutually exclusive: every possible option should be available in the possible answers.  If this is not possible, you need either an open ended question or “other category” Likewise, if you are asking for age, make sure that the categories are not something like “20-25”,”25-30”,”30-35”. If someone was 30, it would be hard for them to answer this question, as they could fit in the “25-30” or “30-35” category.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Generally open questions should appear before closed questions on the same topic. This is because of </w:t>
      </w:r>
      <w:r w:rsidDel="00000000" w:rsidR="00000000" w:rsidRPr="00000000">
        <w:rPr>
          <w:b w:val="1"/>
          <w:bCs w:val="1"/>
          <w:rtl w:val="0"/>
        </w:rPr>
        <w:t xml:space="preserve">Anchoring. </w:t>
      </w:r>
      <w:r w:rsidDel="00000000" w:rsidR="00000000" w:rsidRPr="00000000">
        <w:rPr>
          <w:rtl w:val="0"/>
        </w:rPr>
        <w:t xml:space="preserve">Early questions set standards. For example if a closed question involves ETH being priced at 4k, and you ask people how they feel about Eth at 1.3k in an open question, people are more likely to say they feel it is low.  Likewise, if a closed question involves ETH being priced at $100, and then you ask people how they feel about ETH at 1.3k in an open question, people are more likely to say they feel it is higher. Likewise, placing open questions first avoids another problem in surveys, </w:t>
      </w:r>
      <w:r w:rsidDel="00000000" w:rsidR="00000000" w:rsidRPr="00000000">
        <w:rPr>
          <w:b w:val="1"/>
          <w:bCs w:val="1"/>
          <w:rtl w:val="0"/>
        </w:rPr>
        <w:t xml:space="preserve">priming</w:t>
      </w:r>
      <w:r w:rsidDel="00000000" w:rsidR="00000000" w:rsidRPr="00000000">
        <w:rPr>
          <w:rtl w:val="0"/>
        </w:rPr>
        <w:t xml:space="preserve">. An example of this is that a closed question that has a list of crypto currencies that mention Fantom can affect the chances that someone mentions Fantom in a later open question.  Problems with priming also necessitates that less specific open questions should also come before more specific open questions.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However, closed questions are easier to answer and you may want to start with some in your survey to make a more pleasant survey answering experience (which leads to higher survey completion rates).  Be sure to avoid problems with anchoring and priming if you do this.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Presentation:</w:t>
      </w:r>
    </w:p>
    <w:p w:rsidR="00000000" w:rsidDel="00000000" w:rsidP="00000000" w:rsidRDefault="00000000" w:rsidRPr="00000000" w14:paraId="00000019">
      <w:pPr>
        <w:rPr/>
      </w:pPr>
      <w:r w:rsidDel="00000000" w:rsidR="00000000" w:rsidRPr="00000000">
        <w:rPr>
          <w:rtl w:val="0"/>
        </w:rPr>
        <w:t xml:space="preserve">Everything should be designed in such a way to make things easy for your survey responder.</w:t>
      </w:r>
    </w:p>
    <w:p w:rsidR="00000000" w:rsidDel="00000000" w:rsidP="00000000" w:rsidRDefault="00000000" w:rsidRPr="00000000" w14:paraId="0000001A">
      <w:pPr>
        <w:rPr/>
      </w:pPr>
      <w:r w:rsidDel="00000000" w:rsidR="00000000" w:rsidRPr="00000000">
        <w:rPr>
          <w:rtl w:val="0"/>
        </w:rPr>
        <w:tab/>
        <w:t xml:space="preserve">Generally you should avoid using jargon and use simple familiar words.  In standard survey design it is generally advised to aim for a grade 4 reading level, but that can be kind of hard in the crypto universe. Still, keep things simple, don’t use acronyms, and aim for the broadest argument. </w:t>
      </w:r>
    </w:p>
    <w:p w:rsidR="00000000" w:rsidDel="00000000" w:rsidP="00000000" w:rsidRDefault="00000000" w:rsidRPr="00000000" w14:paraId="0000001B">
      <w:pPr>
        <w:rPr/>
      </w:pPr>
      <w:r w:rsidDel="00000000" w:rsidR="00000000" w:rsidRPr="00000000">
        <w:rPr>
          <w:rtl w:val="0"/>
        </w:rPr>
        <w:tab/>
        <w:t xml:space="preserve">Make sure that your survey is standardized in terms of presentation, font, and format. Consider using darker or larger print for the questions, and lighter print for answers.</w:t>
      </w:r>
    </w:p>
    <w:p w:rsidR="00000000" w:rsidDel="00000000" w:rsidP="00000000" w:rsidRDefault="00000000" w:rsidRPr="00000000" w14:paraId="0000001C">
      <w:pPr>
        <w:ind w:left="720" w:firstLine="0"/>
        <w:rPr>
          <w:rFonts w:ascii="Courier New" w:cs="Courier New" w:eastAsia="Courier New" w:hAnsi="Courier New"/>
        </w:rPr>
      </w:pPr>
      <w:r w:rsidDel="00000000" w:rsidR="00000000" w:rsidRPr="00000000">
        <w:rPr>
          <w:rtl w:val="0"/>
        </w:rPr>
        <w:t xml:space="preserve">Use formatting to draw attention to certain words to make things clear, for example </w:t>
      </w:r>
      <w:r w:rsidDel="00000000" w:rsidR="00000000" w:rsidRPr="00000000">
        <w:rPr>
          <w:rtl w:val="0"/>
        </w:rPr>
      </w:r>
    </w:p>
    <w:p w:rsidR="00000000" w:rsidDel="00000000" w:rsidP="00000000" w:rsidRDefault="00000000" w:rsidRPr="00000000" w14:paraId="0000001D">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“How often do </w:t>
      </w:r>
      <w:r w:rsidDel="00000000" w:rsidR="00000000" w:rsidRPr="00000000">
        <w:rPr>
          <w:rFonts w:ascii="Courier New" w:cs="Courier New" w:eastAsia="Courier New" w:hAnsi="Courier New"/>
          <w:u w:val="single"/>
          <w:rtl w:val="0"/>
        </w:rPr>
        <w:t xml:space="preserve">you</w:t>
      </w:r>
      <w:r w:rsidDel="00000000" w:rsidR="00000000" w:rsidRPr="00000000">
        <w:rPr>
          <w:rFonts w:ascii="Courier New" w:cs="Courier New" w:eastAsia="Courier New" w:hAnsi="Courier New"/>
          <w:rtl w:val="0"/>
        </w:rPr>
        <w:t xml:space="preserve"> go to the doctor” </w:t>
      </w:r>
    </w:p>
    <w:p w:rsidR="00000000" w:rsidDel="00000000" w:rsidP="00000000" w:rsidRDefault="00000000" w:rsidRPr="00000000" w14:paraId="0000001E">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t xml:space="preserve">“How often does </w:t>
      </w:r>
      <w:r w:rsidDel="00000000" w:rsidR="00000000" w:rsidRPr="00000000">
        <w:rPr>
          <w:rFonts w:ascii="Courier New" w:cs="Courier New" w:eastAsia="Courier New" w:hAnsi="Courier New"/>
          <w:u w:val="single"/>
          <w:rtl w:val="0"/>
        </w:rPr>
        <w:t xml:space="preserve">your spouse</w:t>
      </w:r>
      <w:r w:rsidDel="00000000" w:rsidR="00000000" w:rsidRPr="00000000">
        <w:rPr>
          <w:rFonts w:ascii="Courier New" w:cs="Courier New" w:eastAsia="Courier New" w:hAnsi="Courier New"/>
          <w:rtl w:val="0"/>
        </w:rPr>
        <w:t xml:space="preserve"> go to the doctor” </w:t>
      </w:r>
    </w:p>
    <w:p w:rsidR="00000000" w:rsidDel="00000000" w:rsidP="00000000" w:rsidRDefault="00000000" w:rsidRPr="00000000" w14:paraId="0000001F">
      <w:pPr>
        <w:ind w:left="0" w:firstLine="720"/>
        <w:rPr/>
      </w:pPr>
      <w:r w:rsidDel="00000000" w:rsidR="00000000" w:rsidRPr="00000000">
        <w:rPr>
          <w:rtl w:val="0"/>
        </w:rPr>
        <w:t xml:space="preserve">Use formatting such as underlining sparingly! Too much can be confusing for the survey respondent! </w:t>
      </w:r>
    </w:p>
    <w:p w:rsidR="00000000" w:rsidDel="00000000" w:rsidP="00000000" w:rsidRDefault="00000000" w:rsidRPr="00000000" w14:paraId="00000020">
      <w:pPr>
        <w:ind w:left="72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bCs w:val="1"/>
          <w:rtl w:val="0"/>
        </w:rPr>
        <w:t xml:space="preserve">Common errors and tips:</w:t>
      </w: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Ask about one thing at a time. Avoid double or triple barreled questions, for example: </w:t>
      </w:r>
      <w:r w:rsidDel="00000000" w:rsidR="00000000" w:rsidRPr="00000000">
        <w:rPr>
          <w:rFonts w:ascii="Courier New" w:cs="Courier New" w:eastAsia="Courier New" w:hAnsi="Courier New"/>
          <w:rtl w:val="0"/>
        </w:rPr>
        <w:t xml:space="preserve">“How much do you enjoy cooking and eating meals for yourself?</w:t>
      </w:r>
      <w:r w:rsidDel="00000000" w:rsidR="00000000" w:rsidRPr="00000000">
        <w:rPr>
          <w:rtl w:val="0"/>
        </w:rPr>
        <w:t xml:space="preserve">” Someone who likes cooking but hates eating by themselves would have trouble answering this question. </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Avoid leading or loaded questions: For example, ask for levels of satisfaction or dissatisfaction, not just satisfaction in questions.  All questions should be absent of polarity as much as possible.</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Questions should be relevant to the respondent: use survey software to skip irrelevant questions for subjects using filter questions. For example, do not ask AMAB men if they have been pregnant in your survey, and do not ask someone who does not own NFT’s many questions about their BAYC collection.</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Sensitive questions, such as income, should be placed at the end of a survey. Personal questions have a higher likelihood that the responder will stop taking the survey, and if they are asked when they are already invested in the essay through time, are more likely to be answered. </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Early questions should be easy and pleasant to answer. This increases the investment that people have in a survey, and increases completion rates. Likewise, completion rates tend to be higher in surveys that do not start with polling demographic information.</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Group together questions on the same topic, this reduces the amount of cognitive work the survey responder has to do. </w:t>
      </w: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sz w:val="16"/>
          <w:szCs w:val="16"/>
        </w:rPr>
      </w:pPr>
      <w:r w:rsidDel="00000000" w:rsidR="00000000" w:rsidRPr="00000000">
        <w:rPr>
          <w:sz w:val="16"/>
          <w:szCs w:val="16"/>
          <w:rtl w:val="0"/>
        </w:rPr>
        <w:t xml:space="preserve">This document is heavily influenced by and draws from the following sources:</w:t>
      </w:r>
    </w:p>
    <w:p w:rsidR="00000000" w:rsidDel="00000000" w:rsidP="00000000" w:rsidRDefault="00000000" w:rsidRPr="00000000" w14:paraId="0000002C">
      <w:pPr>
        <w:numPr>
          <w:ilvl w:val="0"/>
          <w:numId w:val="1"/>
        </w:numPr>
        <w:ind w:left="720" w:hanging="360"/>
        <w:rPr>
          <w:sz w:val="16"/>
          <w:szCs w:val="16"/>
        </w:rPr>
      </w:pPr>
      <w:hyperlink r:id="rId6">
        <w:r w:rsidDel="00000000" w:rsidR="00000000" w:rsidRPr="00000000">
          <w:rPr>
            <w:rFonts w:ascii="Roboto" w:cs="Roboto" w:eastAsia="Roboto" w:hAnsi="Roboto"/>
            <w:color w:val="1155cc"/>
            <w:sz w:val="16"/>
            <w:szCs w:val="16"/>
            <w:u w:val="single"/>
            <w:shd w:fill="f9f9f9" w:val="clear"/>
            <w:rtl w:val="0"/>
          </w:rPr>
          <w:t xml:space="preserve">rethink research: 2018 SSRL Research Methods Summer Institute</w:t>
        </w:r>
      </w:hyperlink>
      <w:r w:rsidDel="00000000" w:rsidR="00000000" w:rsidRPr="00000000">
        <w:rPr>
          <w:sz w:val="16"/>
          <w:szCs w:val="16"/>
          <w:rtl w:val="0"/>
        </w:rPr>
        <w:t xml:space="preserve">: Basic survey Design. ( </w:t>
      </w:r>
      <w:hyperlink r:id="rId7">
        <w:r w:rsidDel="00000000" w:rsidR="00000000" w:rsidRPr="00000000">
          <w:rPr>
            <w:color w:val="1155cc"/>
            <w:sz w:val="16"/>
            <w:szCs w:val="16"/>
            <w:u w:val="single"/>
            <w:rtl w:val="0"/>
          </w:rPr>
          <w:t xml:space="preserve">https://www.youtube.com/watch?v=IarEwuUP1oQ</w:t>
        </w:r>
      </w:hyperlink>
      <w:r w:rsidDel="00000000" w:rsidR="00000000" w:rsidRPr="00000000">
        <w:rPr>
          <w:sz w:val="16"/>
          <w:szCs w:val="16"/>
          <w:rtl w:val="0"/>
        </w:rPr>
        <w:t xml:space="preserve"> )</w:t>
      </w:r>
    </w:p>
    <w:p w:rsidR="00000000" w:rsidDel="00000000" w:rsidP="00000000" w:rsidRDefault="00000000" w:rsidRPr="00000000" w14:paraId="0000002D">
      <w:pPr>
        <w:numPr>
          <w:ilvl w:val="0"/>
          <w:numId w:val="1"/>
        </w:numPr>
        <w:ind w:left="720" w:hanging="360"/>
        <w:rPr>
          <w:sz w:val="16"/>
          <w:szCs w:val="16"/>
        </w:rPr>
      </w:pPr>
      <w:r w:rsidDel="00000000" w:rsidR="00000000" w:rsidRPr="00000000">
        <w:rPr>
          <w:color w:val="222222"/>
          <w:sz w:val="16"/>
          <w:szCs w:val="16"/>
          <w:highlight w:val="white"/>
          <w:rtl w:val="0"/>
        </w:rPr>
        <w:t xml:space="preserve">Dillman, Don A., Jolene D. Smyth, and Leah Melani Christian. </w:t>
      </w:r>
      <w:r w:rsidDel="00000000" w:rsidR="00000000" w:rsidRPr="00000000">
        <w:rPr>
          <w:i w:val="1"/>
          <w:iCs w:val="1"/>
          <w:color w:val="222222"/>
          <w:sz w:val="16"/>
          <w:szCs w:val="16"/>
          <w:highlight w:val="white"/>
          <w:rtl w:val="0"/>
        </w:rPr>
        <w:t xml:space="preserve">Internet, phone, mail, and mixed-mode surveys: The tailored design method</w:t>
      </w:r>
      <w:r w:rsidDel="00000000" w:rsidR="00000000" w:rsidRPr="00000000">
        <w:rPr>
          <w:color w:val="222222"/>
          <w:sz w:val="16"/>
          <w:szCs w:val="16"/>
          <w:highlight w:val="white"/>
          <w:rtl w:val="0"/>
        </w:rPr>
        <w:t xml:space="preserve">. John Wiley &amp; Sons, 2014.</w:t>
      </w:r>
    </w:p>
    <w:p w:rsidR="00000000" w:rsidDel="00000000" w:rsidP="00000000" w:rsidRDefault="00000000" w:rsidRPr="00000000" w14:paraId="0000002E">
      <w:pPr>
        <w:numPr>
          <w:ilvl w:val="0"/>
          <w:numId w:val="1"/>
        </w:numPr>
        <w:ind w:left="720" w:hanging="360"/>
        <w:rPr>
          <w:color w:val="222222"/>
          <w:sz w:val="16"/>
          <w:szCs w:val="16"/>
          <w:highlight w:val="white"/>
        </w:rPr>
      </w:pPr>
      <w:r w:rsidDel="00000000" w:rsidR="00000000" w:rsidRPr="00000000">
        <w:rPr>
          <w:color w:val="222222"/>
          <w:sz w:val="16"/>
          <w:szCs w:val="16"/>
          <w:highlight w:val="white"/>
          <w:rtl w:val="0"/>
        </w:rPr>
        <w:t xml:space="preserve">Krosnick, Jon A. "Survey research." </w:t>
      </w:r>
      <w:r w:rsidDel="00000000" w:rsidR="00000000" w:rsidRPr="00000000">
        <w:rPr>
          <w:i w:val="1"/>
          <w:iCs w:val="1"/>
          <w:color w:val="222222"/>
          <w:sz w:val="16"/>
          <w:szCs w:val="16"/>
          <w:highlight w:val="white"/>
          <w:rtl w:val="0"/>
        </w:rPr>
        <w:t xml:space="preserve">Annual review of psychology</w:t>
      </w:r>
      <w:r w:rsidDel="00000000" w:rsidR="00000000" w:rsidRPr="00000000">
        <w:rPr>
          <w:color w:val="222222"/>
          <w:sz w:val="16"/>
          <w:szCs w:val="16"/>
          <w:highlight w:val="white"/>
          <w:rtl w:val="0"/>
        </w:rPr>
        <w:t xml:space="preserve"> 50.1 (1999): 537-567.</w:t>
      </w:r>
    </w:p>
    <w:p w:rsidR="00000000" w:rsidDel="00000000" w:rsidP="00000000" w:rsidRDefault="00000000" w:rsidRPr="00000000" w14:paraId="0000002F">
      <w:pPr>
        <w:numPr>
          <w:ilvl w:val="0"/>
          <w:numId w:val="1"/>
        </w:numPr>
        <w:ind w:left="720" w:hanging="360"/>
        <w:rPr>
          <w:color w:val="222222"/>
          <w:sz w:val="16"/>
          <w:szCs w:val="16"/>
          <w:highlight w:val="white"/>
        </w:rPr>
      </w:pPr>
      <w:r w:rsidDel="00000000" w:rsidR="00000000" w:rsidRPr="00000000">
        <w:rPr>
          <w:color w:val="222222"/>
          <w:sz w:val="16"/>
          <w:szCs w:val="16"/>
          <w:highlight w:val="white"/>
          <w:rtl w:val="0"/>
        </w:rPr>
        <w:t xml:space="preserve">Pew Research Center: https://www.pewresearch.org/our-methods/u-s-surveys/writing-survey-questions/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playlist?list=PLZVQcEB31I4W_hTq9hxh67WWfI4qQvh3g" TargetMode="External"/><Relationship Id="rId7" Type="http://schemas.openxmlformats.org/officeDocument/2006/relationships/hyperlink" Target="https://www.youtube.com/watch?v=IarEwuUP1o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